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CellSpacing w:w="0" w:type="dxa"/>
        <w:tblInd w:w="390" w:type="dxa"/>
        <w:tblCellMar>
          <w:left w:w="0" w:type="dxa"/>
          <w:right w:w="0" w:type="dxa"/>
        </w:tblCellMar>
        <w:tblLook w:val="04A0" w:firstRow="1" w:lastRow="0" w:firstColumn="1" w:lastColumn="0" w:noHBand="0" w:noVBand="1"/>
      </w:tblPr>
      <w:tblGrid>
        <w:gridCol w:w="1905"/>
        <w:gridCol w:w="7470"/>
      </w:tblGrid>
      <w:tr w:rsidR="00C75DD7" w:rsidTr="00C75DD7">
        <w:trPr>
          <w:trHeight w:val="1347"/>
          <w:tblCellSpacing w:w="0" w:type="dxa"/>
        </w:trPr>
        <w:tc>
          <w:tcPr>
            <w:tcW w:w="1905"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C75DD7" w:rsidRDefault="00C75DD7">
            <w:pPr>
              <w:spacing w:after="450" w:line="240" w:lineRule="auto"/>
              <w:jc w:val="center"/>
              <w:rPr>
                <w:rFonts w:eastAsia="Times New Roman" w:cs="Helvetica"/>
                <w:b/>
                <w:bCs/>
                <w:sz w:val="20"/>
                <w:szCs w:val="20"/>
              </w:rPr>
            </w:pPr>
            <w:bookmarkStart w:id="0" w:name="_GoBack"/>
            <w:bookmarkEnd w:id="0"/>
            <w:r>
              <w:rPr>
                <w:rFonts w:eastAsia="Times New Roman" w:cs="Helvetica"/>
                <w:b/>
                <w:bCs/>
                <w:sz w:val="20"/>
                <w:szCs w:val="20"/>
              </w:rPr>
              <w:t>Title</w:t>
            </w:r>
          </w:p>
        </w:tc>
        <w:tc>
          <w:tcPr>
            <w:tcW w:w="7470" w:type="dxa"/>
            <w:tcBorders>
              <w:top w:val="nil"/>
              <w:left w:val="nil"/>
              <w:bottom w:val="single" w:sz="6" w:space="0" w:color="CECECE"/>
              <w:right w:val="single" w:sz="6" w:space="0" w:color="CECECE"/>
            </w:tcBorders>
            <w:tcMar>
              <w:top w:w="120" w:type="dxa"/>
              <w:left w:w="120" w:type="dxa"/>
              <w:bottom w:w="120" w:type="dxa"/>
              <w:right w:w="120" w:type="dxa"/>
            </w:tcMar>
            <w:vAlign w:val="center"/>
            <w:hideMark/>
          </w:tcPr>
          <w:p w:rsidR="00C75DD7" w:rsidRDefault="00C75DD7">
            <w:pPr>
              <w:autoSpaceDE w:val="0"/>
              <w:autoSpaceDN w:val="0"/>
              <w:adjustRightInd w:val="0"/>
              <w:spacing w:after="0" w:line="240" w:lineRule="auto"/>
              <w:rPr>
                <w:rFonts w:ascii="Times New Roman" w:hAnsi="Times New Roman" w:cs="Times New Roman"/>
                <w:color w:val="000000"/>
              </w:rPr>
            </w:pPr>
            <w:r>
              <w:rPr>
                <w:rFonts w:cs="Times New Roman"/>
                <w:bCs/>
                <w:color w:val="000000"/>
                <w:sz w:val="20"/>
                <w:szCs w:val="20"/>
              </w:rPr>
              <w:t>Tenure-Track or Tenured Professor in Korean Literature, Harvard University</w:t>
            </w:r>
          </w:p>
        </w:tc>
      </w:tr>
      <w:tr w:rsidR="00C75DD7" w:rsidTr="00C75DD7">
        <w:trPr>
          <w:trHeight w:val="636"/>
          <w:tblCellSpacing w:w="0" w:type="dxa"/>
        </w:trPr>
        <w:tc>
          <w:tcPr>
            <w:tcW w:w="1905"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C75DD7" w:rsidRDefault="00C75DD7">
            <w:pPr>
              <w:spacing w:after="450" w:line="240" w:lineRule="auto"/>
              <w:jc w:val="center"/>
              <w:rPr>
                <w:rFonts w:eastAsia="Times New Roman" w:cs="Helvetica"/>
                <w:b/>
                <w:bCs/>
                <w:sz w:val="20"/>
                <w:szCs w:val="20"/>
              </w:rPr>
            </w:pPr>
            <w:r>
              <w:rPr>
                <w:rFonts w:eastAsia="Times New Roman" w:cs="Helvetica"/>
                <w:b/>
                <w:bCs/>
                <w:sz w:val="20"/>
                <w:szCs w:val="20"/>
              </w:rPr>
              <w:t>School</w:t>
            </w:r>
          </w:p>
        </w:tc>
        <w:tc>
          <w:tcPr>
            <w:tcW w:w="7470" w:type="dxa"/>
            <w:tcBorders>
              <w:top w:val="nil"/>
              <w:left w:val="nil"/>
              <w:bottom w:val="single" w:sz="6" w:space="0" w:color="CECECE"/>
              <w:right w:val="single" w:sz="6" w:space="0" w:color="CECECE"/>
            </w:tcBorders>
            <w:tcMar>
              <w:top w:w="120" w:type="dxa"/>
              <w:left w:w="120" w:type="dxa"/>
              <w:bottom w:w="120" w:type="dxa"/>
              <w:right w:w="120" w:type="dxa"/>
            </w:tcMar>
            <w:vAlign w:val="center"/>
            <w:hideMark/>
          </w:tcPr>
          <w:p w:rsidR="00C75DD7" w:rsidRDefault="00C75DD7">
            <w:pPr>
              <w:spacing w:after="450" w:line="240" w:lineRule="auto"/>
              <w:rPr>
                <w:rFonts w:eastAsia="Times New Roman" w:cs="Helvetica"/>
                <w:color w:val="333333"/>
                <w:sz w:val="20"/>
                <w:szCs w:val="20"/>
              </w:rPr>
            </w:pPr>
            <w:r>
              <w:rPr>
                <w:rFonts w:eastAsia="Times New Roman" w:cs="Helvetica"/>
                <w:color w:val="333333"/>
                <w:sz w:val="20"/>
                <w:szCs w:val="20"/>
              </w:rPr>
              <w:t>Faculty of Arts and Sciences</w:t>
            </w:r>
          </w:p>
        </w:tc>
      </w:tr>
      <w:tr w:rsidR="00C75DD7" w:rsidTr="00C75DD7">
        <w:trPr>
          <w:trHeight w:val="501"/>
          <w:tblCellSpacing w:w="0" w:type="dxa"/>
        </w:trPr>
        <w:tc>
          <w:tcPr>
            <w:tcW w:w="1905"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C75DD7" w:rsidRDefault="00C75DD7">
            <w:pPr>
              <w:spacing w:after="450" w:line="240" w:lineRule="auto"/>
              <w:jc w:val="center"/>
              <w:rPr>
                <w:rFonts w:eastAsia="Times New Roman" w:cs="Helvetica"/>
                <w:b/>
                <w:bCs/>
                <w:sz w:val="20"/>
                <w:szCs w:val="20"/>
              </w:rPr>
            </w:pPr>
            <w:r>
              <w:rPr>
                <w:rFonts w:eastAsia="Times New Roman" w:cs="Helvetica"/>
                <w:b/>
                <w:bCs/>
                <w:sz w:val="20"/>
                <w:szCs w:val="20"/>
              </w:rPr>
              <w:t>Department/Area</w:t>
            </w:r>
          </w:p>
        </w:tc>
        <w:tc>
          <w:tcPr>
            <w:tcW w:w="7470" w:type="dxa"/>
            <w:tcBorders>
              <w:top w:val="nil"/>
              <w:left w:val="nil"/>
              <w:bottom w:val="single" w:sz="6" w:space="0" w:color="CECECE"/>
              <w:right w:val="single" w:sz="6" w:space="0" w:color="CECECE"/>
            </w:tcBorders>
            <w:tcMar>
              <w:top w:w="120" w:type="dxa"/>
              <w:left w:w="120" w:type="dxa"/>
              <w:bottom w:w="120" w:type="dxa"/>
              <w:right w:w="120" w:type="dxa"/>
            </w:tcMar>
            <w:vAlign w:val="center"/>
            <w:hideMark/>
          </w:tcPr>
          <w:p w:rsidR="00C75DD7" w:rsidRDefault="00C75DD7">
            <w:pPr>
              <w:spacing w:after="450" w:line="240" w:lineRule="auto"/>
              <w:rPr>
                <w:rFonts w:eastAsia="Times New Roman" w:cs="Helvetica"/>
                <w:color w:val="333333"/>
                <w:sz w:val="20"/>
                <w:szCs w:val="20"/>
              </w:rPr>
            </w:pPr>
            <w:r>
              <w:rPr>
                <w:rFonts w:eastAsia="Times New Roman" w:cs="Helvetica"/>
                <w:color w:val="333333"/>
                <w:sz w:val="20"/>
                <w:szCs w:val="20"/>
              </w:rPr>
              <w:t>East Asian Languages and Civilizations</w:t>
            </w:r>
          </w:p>
        </w:tc>
      </w:tr>
      <w:tr w:rsidR="00C75DD7" w:rsidTr="00C75DD7">
        <w:trPr>
          <w:tblCellSpacing w:w="0" w:type="dxa"/>
        </w:trPr>
        <w:tc>
          <w:tcPr>
            <w:tcW w:w="1905"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C75DD7" w:rsidRDefault="00C75DD7">
            <w:pPr>
              <w:spacing w:after="450" w:line="240" w:lineRule="auto"/>
              <w:jc w:val="center"/>
              <w:rPr>
                <w:rFonts w:eastAsia="Times New Roman" w:cs="Helvetica"/>
                <w:b/>
                <w:bCs/>
                <w:sz w:val="20"/>
                <w:szCs w:val="20"/>
              </w:rPr>
            </w:pPr>
            <w:r>
              <w:rPr>
                <w:rFonts w:eastAsia="Times New Roman" w:cs="Helvetica"/>
                <w:b/>
                <w:bCs/>
                <w:sz w:val="20"/>
                <w:szCs w:val="20"/>
              </w:rPr>
              <w:t>Position Description</w:t>
            </w:r>
          </w:p>
        </w:tc>
        <w:tc>
          <w:tcPr>
            <w:tcW w:w="7470" w:type="dxa"/>
            <w:tcBorders>
              <w:top w:val="nil"/>
              <w:left w:val="nil"/>
              <w:bottom w:val="single" w:sz="6" w:space="0" w:color="CECECE"/>
              <w:right w:val="single" w:sz="6" w:space="0" w:color="CECECE"/>
            </w:tcBorders>
            <w:tcMar>
              <w:top w:w="120" w:type="dxa"/>
              <w:left w:w="120" w:type="dxa"/>
              <w:bottom w:w="120" w:type="dxa"/>
              <w:right w:w="120" w:type="dxa"/>
            </w:tcMar>
            <w:vAlign w:val="center"/>
            <w:hideMark/>
          </w:tcPr>
          <w:p w:rsidR="00C75DD7" w:rsidRDefault="00C75DD7">
            <w:pPr>
              <w:autoSpaceDE w:val="0"/>
              <w:autoSpaceDN w:val="0"/>
              <w:spacing w:before="100" w:beforeAutospacing="1" w:after="100" w:afterAutospacing="1"/>
              <w:rPr>
                <w:sz w:val="20"/>
                <w:szCs w:val="20"/>
              </w:rPr>
            </w:pPr>
            <w:r>
              <w:rPr>
                <w:sz w:val="20"/>
                <w:szCs w:val="20"/>
              </w:rPr>
              <w:t xml:space="preserve">The Department of East Asian Languages and Civilizations at Harvard University invites applications for a tenure-track or tenured appointment in Korean Literature, broadly conceived.  We particularly welcome applicants whose research and teaching combine a firm empirical grasp of the Korean literary field with interests in such other areas as film, cultural studies, cultural history, transnational studies, comparative and world literature, and new media.  The appointee will advise and teach at the undergraduate and graduate levels, </w:t>
            </w:r>
            <w:r w:rsidRPr="00C75DD7">
              <w:rPr>
                <w:sz w:val="20"/>
                <w:szCs w:val="20"/>
              </w:rPr>
              <w:t xml:space="preserve">offering </w:t>
            </w:r>
            <w:r w:rsidRPr="00C75DD7">
              <w:rPr>
                <w:rFonts w:eastAsia="Times New Roman" w:cs="Arial"/>
                <w:sz w:val="20"/>
                <w:szCs w:val="20"/>
              </w:rPr>
              <w:t xml:space="preserve">a range of courses related to Korean literature. </w:t>
            </w:r>
            <w:r w:rsidRPr="00C75DD7">
              <w:rPr>
                <w:sz w:val="20"/>
                <w:szCs w:val="20"/>
              </w:rPr>
              <w:t xml:space="preserve"> </w:t>
            </w:r>
            <w:r>
              <w:rPr>
                <w:sz w:val="20"/>
                <w:szCs w:val="20"/>
              </w:rPr>
              <w:t xml:space="preserve">The appointment is expected to begin on July 1, 2014. </w:t>
            </w:r>
          </w:p>
        </w:tc>
      </w:tr>
      <w:tr w:rsidR="00C75DD7" w:rsidTr="00C75DD7">
        <w:trPr>
          <w:tblCellSpacing w:w="0" w:type="dxa"/>
        </w:trPr>
        <w:tc>
          <w:tcPr>
            <w:tcW w:w="1905"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C75DD7" w:rsidRDefault="00C75DD7">
            <w:pPr>
              <w:spacing w:after="0" w:line="240" w:lineRule="auto"/>
              <w:jc w:val="center"/>
              <w:rPr>
                <w:rFonts w:eastAsia="Times New Roman" w:cs="Helvetica"/>
                <w:b/>
                <w:bCs/>
                <w:sz w:val="20"/>
                <w:szCs w:val="20"/>
              </w:rPr>
            </w:pPr>
            <w:r>
              <w:rPr>
                <w:rFonts w:eastAsia="Times New Roman" w:cs="Helvetica"/>
                <w:b/>
                <w:bCs/>
                <w:sz w:val="20"/>
                <w:szCs w:val="20"/>
              </w:rPr>
              <w:t>Basic Qualifications</w:t>
            </w:r>
          </w:p>
        </w:tc>
        <w:tc>
          <w:tcPr>
            <w:tcW w:w="7470" w:type="dxa"/>
            <w:tcBorders>
              <w:top w:val="nil"/>
              <w:left w:val="nil"/>
              <w:bottom w:val="single" w:sz="6" w:space="0" w:color="CECECE"/>
              <w:right w:val="single" w:sz="6" w:space="0" w:color="CECECE"/>
            </w:tcBorders>
            <w:tcMar>
              <w:top w:w="120" w:type="dxa"/>
              <w:left w:w="120" w:type="dxa"/>
              <w:bottom w:w="120" w:type="dxa"/>
              <w:right w:w="120" w:type="dxa"/>
            </w:tcMar>
            <w:vAlign w:val="center"/>
            <w:hideMark/>
          </w:tcPr>
          <w:p w:rsidR="00C75DD7" w:rsidRDefault="00C75DD7">
            <w:pPr>
              <w:spacing w:after="75" w:line="240" w:lineRule="auto"/>
              <w:rPr>
                <w:rFonts w:eastAsia="Times New Roman" w:cs="Arial"/>
                <w:color w:val="333333"/>
                <w:sz w:val="20"/>
                <w:szCs w:val="20"/>
              </w:rPr>
            </w:pPr>
            <w:r>
              <w:rPr>
                <w:sz w:val="20"/>
                <w:szCs w:val="20"/>
              </w:rPr>
              <w:t xml:space="preserve">Doctorate or terminal degree in Korean Literature or related discipline required by the time the appointment begins. </w:t>
            </w:r>
          </w:p>
        </w:tc>
      </w:tr>
      <w:tr w:rsidR="00C75DD7" w:rsidTr="00C75DD7">
        <w:trPr>
          <w:tblCellSpacing w:w="0" w:type="dxa"/>
        </w:trPr>
        <w:tc>
          <w:tcPr>
            <w:tcW w:w="1905"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C75DD7" w:rsidRDefault="00C75DD7">
            <w:pPr>
              <w:spacing w:after="0" w:line="240" w:lineRule="auto"/>
              <w:jc w:val="center"/>
              <w:rPr>
                <w:rFonts w:eastAsia="Times New Roman" w:cs="Helvetica"/>
                <w:b/>
                <w:bCs/>
                <w:sz w:val="20"/>
                <w:szCs w:val="20"/>
              </w:rPr>
            </w:pPr>
            <w:r>
              <w:rPr>
                <w:rFonts w:eastAsia="Times New Roman" w:cs="Helvetica"/>
                <w:b/>
                <w:bCs/>
                <w:sz w:val="20"/>
                <w:szCs w:val="20"/>
              </w:rPr>
              <w:t>Additional Qualifications</w:t>
            </w:r>
          </w:p>
        </w:tc>
        <w:tc>
          <w:tcPr>
            <w:tcW w:w="7470" w:type="dxa"/>
            <w:tcBorders>
              <w:top w:val="nil"/>
              <w:left w:val="nil"/>
              <w:bottom w:val="single" w:sz="6" w:space="0" w:color="CECECE"/>
              <w:right w:val="single" w:sz="6" w:space="0" w:color="CECECE"/>
            </w:tcBorders>
            <w:tcMar>
              <w:top w:w="120" w:type="dxa"/>
              <w:left w:w="120" w:type="dxa"/>
              <w:bottom w:w="120" w:type="dxa"/>
              <w:right w:w="120" w:type="dxa"/>
            </w:tcMar>
            <w:vAlign w:val="center"/>
            <w:hideMark/>
          </w:tcPr>
          <w:p w:rsidR="00C75DD7" w:rsidRDefault="00C75DD7">
            <w:pPr>
              <w:spacing w:after="75" w:line="240" w:lineRule="auto"/>
              <w:rPr>
                <w:rFonts w:eastAsia="Times New Roman" w:cs="Arial"/>
                <w:color w:val="333333"/>
                <w:sz w:val="20"/>
                <w:szCs w:val="20"/>
              </w:rPr>
            </w:pPr>
            <w:r>
              <w:rPr>
                <w:sz w:val="20"/>
                <w:szCs w:val="20"/>
              </w:rPr>
              <w:t>Demonstrated excellence in teaching and research is desired. Candidates for a tenured appointment should also evince intellectual leadership and impact on the field and potential for significant contributions to the department, University, and wider scholarly community.</w:t>
            </w:r>
            <w:r>
              <w:rPr>
                <w:rFonts w:eastAsia="Times New Roman" w:cs="Arial"/>
                <w:color w:val="333333"/>
                <w:sz w:val="20"/>
                <w:szCs w:val="20"/>
              </w:rPr>
              <w:t xml:space="preserve"> </w:t>
            </w:r>
            <w:r>
              <w:rPr>
                <w:sz w:val="20"/>
                <w:szCs w:val="20"/>
              </w:rPr>
              <w:t>All applicants should possess a high level of proficiency in Korean.</w:t>
            </w:r>
          </w:p>
        </w:tc>
      </w:tr>
      <w:tr w:rsidR="00C75DD7" w:rsidTr="00C75DD7">
        <w:trPr>
          <w:tblCellSpacing w:w="0" w:type="dxa"/>
        </w:trPr>
        <w:tc>
          <w:tcPr>
            <w:tcW w:w="1905"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C75DD7" w:rsidRDefault="00C75DD7">
            <w:pPr>
              <w:spacing w:after="0" w:line="240" w:lineRule="auto"/>
              <w:jc w:val="center"/>
              <w:rPr>
                <w:rFonts w:eastAsia="Times New Roman" w:cs="Helvetica"/>
                <w:b/>
                <w:bCs/>
                <w:sz w:val="20"/>
                <w:szCs w:val="20"/>
              </w:rPr>
            </w:pPr>
            <w:r>
              <w:rPr>
                <w:rFonts w:eastAsia="Times New Roman" w:cs="Helvetica"/>
                <w:b/>
                <w:bCs/>
                <w:sz w:val="20"/>
                <w:szCs w:val="20"/>
              </w:rPr>
              <w:t xml:space="preserve">Special Instructions </w:t>
            </w:r>
          </w:p>
        </w:tc>
        <w:tc>
          <w:tcPr>
            <w:tcW w:w="7470" w:type="dxa"/>
            <w:tcBorders>
              <w:top w:val="nil"/>
              <w:left w:val="nil"/>
              <w:bottom w:val="single" w:sz="6" w:space="0" w:color="CECECE"/>
              <w:right w:val="single" w:sz="6" w:space="0" w:color="CECECE"/>
            </w:tcBorders>
            <w:tcMar>
              <w:top w:w="120" w:type="dxa"/>
              <w:left w:w="120" w:type="dxa"/>
              <w:bottom w:w="120" w:type="dxa"/>
              <w:right w:w="120" w:type="dxa"/>
            </w:tcMar>
            <w:vAlign w:val="center"/>
            <w:hideMark/>
          </w:tcPr>
          <w:p w:rsidR="00C75DD7" w:rsidRDefault="00C75DD7">
            <w:pPr>
              <w:spacing w:after="75" w:line="240" w:lineRule="auto"/>
              <w:rPr>
                <w:sz w:val="20"/>
                <w:szCs w:val="20"/>
              </w:rPr>
            </w:pPr>
            <w:r>
              <w:rPr>
                <w:rFonts w:eastAsia="Times New Roman" w:cs="Arial"/>
                <w:color w:val="333333"/>
                <w:sz w:val="20"/>
                <w:szCs w:val="20"/>
              </w:rPr>
              <w:t xml:space="preserve">Candidates should submit a cover letter, </w:t>
            </w:r>
            <w:r>
              <w:rPr>
                <w:rFonts w:eastAsia="Times New Roman" w:cs="Arial"/>
                <w:i/>
                <w:color w:val="333333"/>
                <w:sz w:val="20"/>
                <w:szCs w:val="20"/>
              </w:rPr>
              <w:t>curriculum vitae</w:t>
            </w:r>
            <w:r>
              <w:rPr>
                <w:rFonts w:eastAsia="Times New Roman" w:cs="Arial"/>
                <w:color w:val="333333"/>
                <w:sz w:val="20"/>
                <w:szCs w:val="20"/>
              </w:rPr>
              <w:t xml:space="preserve">, a statement of teaching philosophy and experience, and a statement of current and future research plans. </w:t>
            </w:r>
            <w:r>
              <w:rPr>
                <w:sz w:val="20"/>
                <w:szCs w:val="20"/>
              </w:rPr>
              <w:t xml:space="preserve">Candidates for a tenure-track position are also required to submit names and contact information of 3-5 references (three letters of recommendation are required, and the application is complete only when all three letters have been submitted). </w:t>
            </w:r>
          </w:p>
          <w:p w:rsidR="00C75DD7" w:rsidRDefault="00C75DD7">
            <w:pPr>
              <w:spacing w:after="75" w:line="240" w:lineRule="auto"/>
              <w:rPr>
                <w:rFonts w:eastAsia="Times New Roman" w:cs="Arial"/>
                <w:color w:val="333333"/>
                <w:sz w:val="20"/>
                <w:szCs w:val="20"/>
              </w:rPr>
            </w:pPr>
            <w:r>
              <w:rPr>
                <w:rFonts w:eastAsia="Times New Roman" w:cs="Arial"/>
                <w:color w:val="333333"/>
                <w:sz w:val="20"/>
                <w:szCs w:val="20"/>
              </w:rPr>
              <w:t>To ensure full consideration applications should be submitted online by November 1, 2013 at: http://academicpositions.harvard.edu.</w:t>
            </w:r>
          </w:p>
          <w:p w:rsidR="00C75DD7" w:rsidRDefault="00C75DD7">
            <w:pPr>
              <w:spacing w:after="0" w:line="240" w:lineRule="auto"/>
              <w:rPr>
                <w:rFonts w:eastAsia="Times New Roman" w:cs="Helvetica"/>
                <w:color w:val="333333"/>
                <w:sz w:val="20"/>
                <w:szCs w:val="20"/>
              </w:rPr>
            </w:pPr>
            <w:r>
              <w:rPr>
                <w:rFonts w:eastAsia="Times New Roman" w:cs="Arial"/>
                <w:color w:val="333333"/>
                <w:sz w:val="20"/>
                <w:szCs w:val="20"/>
              </w:rPr>
              <w:t>Harvard is an Equal Opportunity /Affirmative Action employer. Applications from women and minorities are strongly encouraged.</w:t>
            </w:r>
          </w:p>
        </w:tc>
      </w:tr>
      <w:tr w:rsidR="00C75DD7" w:rsidTr="00C75DD7">
        <w:trPr>
          <w:tblCellSpacing w:w="0" w:type="dxa"/>
        </w:trPr>
        <w:tc>
          <w:tcPr>
            <w:tcW w:w="1905"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C75DD7" w:rsidRDefault="00C75DD7">
            <w:pPr>
              <w:spacing w:after="0" w:line="240" w:lineRule="auto"/>
              <w:jc w:val="center"/>
              <w:rPr>
                <w:rFonts w:eastAsia="Times New Roman" w:cs="Helvetica"/>
                <w:b/>
                <w:bCs/>
                <w:sz w:val="20"/>
                <w:szCs w:val="20"/>
              </w:rPr>
            </w:pPr>
            <w:r>
              <w:rPr>
                <w:rFonts w:eastAsia="Times New Roman" w:cs="Helvetica"/>
                <w:b/>
                <w:bCs/>
                <w:sz w:val="20"/>
                <w:szCs w:val="20"/>
              </w:rPr>
              <w:t>Additional Special Instructions</w:t>
            </w:r>
          </w:p>
        </w:tc>
        <w:tc>
          <w:tcPr>
            <w:tcW w:w="7470" w:type="dxa"/>
            <w:tcBorders>
              <w:top w:val="nil"/>
              <w:left w:val="nil"/>
              <w:bottom w:val="single" w:sz="6" w:space="0" w:color="CECECE"/>
              <w:right w:val="single" w:sz="6" w:space="0" w:color="CECECE"/>
            </w:tcBorders>
            <w:tcMar>
              <w:top w:w="120" w:type="dxa"/>
              <w:left w:w="120" w:type="dxa"/>
              <w:bottom w:w="120" w:type="dxa"/>
              <w:right w:w="120" w:type="dxa"/>
            </w:tcMar>
            <w:vAlign w:val="center"/>
            <w:hideMark/>
          </w:tcPr>
          <w:p w:rsidR="00C75DD7" w:rsidRDefault="00C75DD7">
            <w:pPr>
              <w:spacing w:after="75" w:line="240" w:lineRule="auto"/>
              <w:rPr>
                <w:rFonts w:eastAsia="Times New Roman" w:cs="Arial"/>
                <w:color w:val="333333"/>
                <w:sz w:val="20"/>
                <w:szCs w:val="20"/>
              </w:rPr>
            </w:pPr>
            <w:r>
              <w:rPr>
                <w:rFonts w:eastAsia="Times New Roman" w:cs="Arial"/>
                <w:color w:val="333333"/>
                <w:sz w:val="20"/>
                <w:szCs w:val="20"/>
              </w:rPr>
              <w:t xml:space="preserve">If you encounter technical difficulties with or have questions about the application process, please contact Gustavo </w:t>
            </w:r>
            <w:proofErr w:type="spellStart"/>
            <w:r>
              <w:rPr>
                <w:rFonts w:eastAsia="Times New Roman" w:cs="Arial"/>
                <w:color w:val="333333"/>
                <w:sz w:val="20"/>
                <w:szCs w:val="20"/>
              </w:rPr>
              <w:t>Espada</w:t>
            </w:r>
            <w:proofErr w:type="spellEnd"/>
            <w:r>
              <w:rPr>
                <w:rFonts w:eastAsia="Times New Roman" w:cs="Arial"/>
                <w:color w:val="333333"/>
                <w:sz w:val="20"/>
                <w:szCs w:val="20"/>
              </w:rPr>
              <w:t xml:space="preserve"> at espada@fas.harvard.edu.</w:t>
            </w:r>
          </w:p>
        </w:tc>
      </w:tr>
      <w:tr w:rsidR="00C75DD7" w:rsidTr="00C75DD7">
        <w:trPr>
          <w:tblCellSpacing w:w="0" w:type="dxa"/>
        </w:trPr>
        <w:tc>
          <w:tcPr>
            <w:tcW w:w="1905" w:type="dxa"/>
            <w:tcBorders>
              <w:top w:val="nil"/>
              <w:left w:val="single" w:sz="6" w:space="0" w:color="CECECE"/>
              <w:bottom w:val="nil"/>
              <w:right w:val="nil"/>
            </w:tcBorders>
            <w:shd w:val="clear" w:color="auto" w:fill="EEEEEE"/>
            <w:tcMar>
              <w:top w:w="120" w:type="dxa"/>
              <w:left w:w="120" w:type="dxa"/>
              <w:bottom w:w="120" w:type="dxa"/>
              <w:right w:w="120" w:type="dxa"/>
            </w:tcMar>
            <w:vAlign w:val="center"/>
            <w:hideMark/>
          </w:tcPr>
          <w:p w:rsidR="00C75DD7" w:rsidRDefault="00C75DD7">
            <w:pPr>
              <w:spacing w:after="0" w:line="240" w:lineRule="auto"/>
              <w:jc w:val="center"/>
              <w:rPr>
                <w:rFonts w:eastAsia="Times New Roman" w:cs="Helvetica"/>
                <w:b/>
                <w:bCs/>
                <w:sz w:val="20"/>
                <w:szCs w:val="20"/>
              </w:rPr>
            </w:pPr>
            <w:r>
              <w:rPr>
                <w:rFonts w:eastAsia="Times New Roman" w:cs="Helvetica"/>
                <w:b/>
                <w:bCs/>
                <w:sz w:val="20"/>
                <w:szCs w:val="20"/>
              </w:rPr>
              <w:t>Contact Information</w:t>
            </w:r>
          </w:p>
        </w:tc>
        <w:tc>
          <w:tcPr>
            <w:tcW w:w="7470" w:type="dxa"/>
            <w:tcBorders>
              <w:top w:val="nil"/>
              <w:left w:val="nil"/>
              <w:bottom w:val="nil"/>
              <w:right w:val="single" w:sz="6" w:space="0" w:color="CECECE"/>
            </w:tcBorders>
            <w:tcMar>
              <w:top w:w="120" w:type="dxa"/>
              <w:left w:w="120" w:type="dxa"/>
              <w:bottom w:w="120" w:type="dxa"/>
              <w:right w:w="120" w:type="dxa"/>
            </w:tcMar>
            <w:vAlign w:val="center"/>
            <w:hideMark/>
          </w:tcPr>
          <w:p w:rsidR="00C75DD7" w:rsidRDefault="00C75DD7">
            <w:pPr>
              <w:spacing w:after="75" w:line="240" w:lineRule="auto"/>
              <w:rPr>
                <w:rFonts w:eastAsia="Times New Roman" w:cs="Arial"/>
                <w:color w:val="333333"/>
                <w:sz w:val="20"/>
                <w:szCs w:val="20"/>
              </w:rPr>
            </w:pPr>
            <w:r>
              <w:rPr>
                <w:sz w:val="20"/>
                <w:szCs w:val="20"/>
              </w:rPr>
              <w:t>Professor Carter Eckert, Search Committee Chair, Department of East Asian Languages and Civilizations, Faculty of Arts and Sciences, Harvard University, 2 Divinity Street, Cambridge, MA 02138.</w:t>
            </w:r>
          </w:p>
        </w:tc>
      </w:tr>
      <w:tr w:rsidR="00C75DD7" w:rsidTr="00C75DD7">
        <w:trPr>
          <w:tblCellSpacing w:w="0" w:type="dxa"/>
        </w:trPr>
        <w:tc>
          <w:tcPr>
            <w:tcW w:w="1905" w:type="dxa"/>
            <w:tcBorders>
              <w:top w:val="nil"/>
              <w:left w:val="single" w:sz="6" w:space="0" w:color="CECECE"/>
              <w:bottom w:val="nil"/>
              <w:right w:val="nil"/>
            </w:tcBorders>
            <w:shd w:val="clear" w:color="auto" w:fill="EEEEEE"/>
            <w:tcMar>
              <w:top w:w="120" w:type="dxa"/>
              <w:left w:w="120" w:type="dxa"/>
              <w:bottom w:w="120" w:type="dxa"/>
              <w:right w:w="120" w:type="dxa"/>
            </w:tcMar>
            <w:vAlign w:val="center"/>
            <w:hideMark/>
          </w:tcPr>
          <w:p w:rsidR="00C75DD7" w:rsidRDefault="00C75DD7">
            <w:pPr>
              <w:spacing w:after="0" w:line="240" w:lineRule="auto"/>
              <w:jc w:val="center"/>
              <w:rPr>
                <w:rFonts w:eastAsia="Times New Roman" w:cs="Helvetica"/>
                <w:b/>
                <w:bCs/>
                <w:sz w:val="20"/>
                <w:szCs w:val="20"/>
              </w:rPr>
            </w:pPr>
            <w:r>
              <w:rPr>
                <w:rFonts w:eastAsia="Times New Roman" w:cs="Helvetica"/>
                <w:b/>
                <w:bCs/>
                <w:sz w:val="20"/>
                <w:szCs w:val="20"/>
              </w:rPr>
              <w:lastRenderedPageBreak/>
              <w:t>Keywords</w:t>
            </w:r>
          </w:p>
        </w:tc>
        <w:tc>
          <w:tcPr>
            <w:tcW w:w="7470" w:type="dxa"/>
            <w:tcBorders>
              <w:top w:val="nil"/>
              <w:left w:val="nil"/>
              <w:bottom w:val="nil"/>
              <w:right w:val="single" w:sz="6" w:space="0" w:color="CECECE"/>
            </w:tcBorders>
            <w:tcMar>
              <w:top w:w="120" w:type="dxa"/>
              <w:left w:w="120" w:type="dxa"/>
              <w:bottom w:w="120" w:type="dxa"/>
              <w:right w:w="120" w:type="dxa"/>
            </w:tcMar>
            <w:vAlign w:val="center"/>
          </w:tcPr>
          <w:p w:rsidR="00C75DD7" w:rsidRDefault="00C75DD7">
            <w:p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assistant, associate, faculty, instructor, tenure-track, tenured, professor </w:t>
            </w:r>
          </w:p>
          <w:p w:rsidR="00C75DD7" w:rsidRDefault="00C75DD7">
            <w:p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Boston, Cambridge, Massachusetts, MA, Northeast, New England </w:t>
            </w:r>
          </w:p>
          <w:p w:rsidR="00C75DD7" w:rsidRDefault="00C75DD7">
            <w:pPr>
              <w:autoSpaceDE w:val="0"/>
              <w:autoSpaceDN w:val="0"/>
              <w:adjustRightInd w:val="0"/>
              <w:spacing w:after="0" w:line="240" w:lineRule="auto"/>
              <w:rPr>
                <w:rFonts w:cs="Times New Roman"/>
                <w:i/>
                <w:color w:val="C00000"/>
                <w:sz w:val="20"/>
                <w:szCs w:val="20"/>
              </w:rPr>
            </w:pPr>
            <w:r>
              <w:rPr>
                <w:rFonts w:cs="Times New Roman"/>
                <w:color w:val="000000"/>
                <w:sz w:val="20"/>
                <w:szCs w:val="20"/>
              </w:rPr>
              <w:t xml:space="preserve">Korean literature, Korean cultural studies, Korean history, film, media studies </w:t>
            </w:r>
          </w:p>
          <w:p w:rsidR="00C75DD7" w:rsidRDefault="00C75DD7">
            <w:pPr>
              <w:spacing w:after="75" w:line="240" w:lineRule="auto"/>
              <w:rPr>
                <w:sz w:val="20"/>
                <w:szCs w:val="20"/>
              </w:rPr>
            </w:pPr>
          </w:p>
        </w:tc>
      </w:tr>
      <w:tr w:rsidR="00C75DD7" w:rsidTr="00C75DD7">
        <w:trPr>
          <w:tblCellSpacing w:w="0" w:type="dxa"/>
        </w:trPr>
        <w:tc>
          <w:tcPr>
            <w:tcW w:w="1905"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tcPr>
          <w:p w:rsidR="00C75DD7" w:rsidRDefault="00C75DD7">
            <w:pPr>
              <w:spacing w:after="0" w:line="240" w:lineRule="auto"/>
              <w:jc w:val="center"/>
              <w:rPr>
                <w:rFonts w:eastAsia="Times New Roman" w:cs="Helvetica"/>
                <w:b/>
                <w:bCs/>
                <w:sz w:val="20"/>
                <w:szCs w:val="20"/>
              </w:rPr>
            </w:pPr>
          </w:p>
        </w:tc>
        <w:tc>
          <w:tcPr>
            <w:tcW w:w="7470" w:type="dxa"/>
            <w:tcBorders>
              <w:top w:val="nil"/>
              <w:left w:val="nil"/>
              <w:bottom w:val="single" w:sz="6" w:space="0" w:color="CECECE"/>
              <w:right w:val="single" w:sz="6" w:space="0" w:color="CECECE"/>
            </w:tcBorders>
            <w:tcMar>
              <w:top w:w="120" w:type="dxa"/>
              <w:left w:w="120" w:type="dxa"/>
              <w:bottom w:w="120" w:type="dxa"/>
              <w:right w:w="120" w:type="dxa"/>
            </w:tcMar>
            <w:vAlign w:val="center"/>
          </w:tcPr>
          <w:p w:rsidR="00C75DD7" w:rsidRDefault="00C75DD7">
            <w:pPr>
              <w:spacing w:after="75" w:line="240" w:lineRule="auto"/>
              <w:rPr>
                <w:sz w:val="20"/>
                <w:szCs w:val="20"/>
              </w:rPr>
            </w:pPr>
          </w:p>
        </w:tc>
      </w:tr>
    </w:tbl>
    <w:p w:rsidR="005E5004" w:rsidRDefault="00E76A5B"/>
    <w:sectPr w:rsidR="005E5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D7"/>
    <w:rsid w:val="00C75DD7"/>
    <w:rsid w:val="00E07402"/>
    <w:rsid w:val="00E50BD3"/>
    <w:rsid w:val="00E7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Alison G.</dc:creator>
  <cp:lastModifiedBy>DMcCann</cp:lastModifiedBy>
  <cp:revision>2</cp:revision>
  <dcterms:created xsi:type="dcterms:W3CDTF">2013-09-26T15:02:00Z</dcterms:created>
  <dcterms:modified xsi:type="dcterms:W3CDTF">2013-09-26T15:02:00Z</dcterms:modified>
</cp:coreProperties>
</file>